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007D" w14:textId="076435A8" w:rsidR="00E90499" w:rsidRPr="00BC6E99" w:rsidRDefault="00302EC3" w:rsidP="00302EC3">
      <w:pPr>
        <w:spacing w:after="120" w:line="360" w:lineRule="auto"/>
        <w:ind w:left="567" w:right="2262"/>
        <w:rPr>
          <w:rFonts w:ascii="Arial" w:hAnsi="Arial" w:cs="Arial"/>
          <w:b/>
          <w:sz w:val="28"/>
          <w:szCs w:val="28"/>
        </w:rPr>
      </w:pPr>
      <w:r>
        <w:rPr>
          <w:rFonts w:ascii="Arial" w:hAnsi="Arial"/>
          <w:b/>
          <w:sz w:val="28"/>
        </w:rPr>
        <w:t xml:space="preserve">Le déchaumeur porté Cenius AMAZONE est désormais doté d'une sécurité non-stop hydraulique </w:t>
      </w:r>
    </w:p>
    <w:p w14:paraId="448021A6" w14:textId="0F1FA5E1" w:rsidR="00E33D18" w:rsidRPr="00BC6E99" w:rsidRDefault="00E90499" w:rsidP="00E33D18">
      <w:pPr>
        <w:spacing w:after="120" w:line="360" w:lineRule="auto"/>
        <w:ind w:left="567" w:right="1695"/>
        <w:rPr>
          <w:rFonts w:ascii="Arial" w:hAnsi="Arial" w:cs="Arial"/>
          <w:b/>
        </w:rPr>
      </w:pPr>
      <w:r>
        <w:rPr>
          <w:rFonts w:ascii="Arial" w:hAnsi="Arial"/>
          <w:b/>
        </w:rPr>
        <w:t xml:space="preserve">Grande sécurité d'utilisation avec les dents C-Mix-Ultra </w:t>
      </w:r>
    </w:p>
    <w:p w14:paraId="1CBE4FD0" w14:textId="1ABF6121" w:rsidR="004A4E71" w:rsidRDefault="004A4E71" w:rsidP="00921FE3">
      <w:pPr>
        <w:spacing w:after="120" w:line="360" w:lineRule="auto"/>
        <w:ind w:left="567" w:right="1695"/>
        <w:rPr>
          <w:rFonts w:ascii="Arial" w:eastAsia="Arial" w:hAnsi="Arial" w:cs="Arial"/>
        </w:rPr>
      </w:pPr>
    </w:p>
    <w:p w14:paraId="086E5E96" w14:textId="5907BACD" w:rsidR="00E90499" w:rsidRDefault="00E90499" w:rsidP="00E90499">
      <w:pPr>
        <w:spacing w:after="120" w:line="360" w:lineRule="auto"/>
        <w:ind w:left="567" w:right="2262"/>
        <w:rPr>
          <w:rFonts w:ascii="Arial" w:hAnsi="Arial" w:cs="Arial"/>
          <w:bCs/>
        </w:rPr>
      </w:pPr>
      <w:r>
        <w:rPr>
          <w:rFonts w:ascii="Arial" w:hAnsi="Arial"/>
        </w:rPr>
        <w:t xml:space="preserve">Avec le Cenius Ultra, AMAZONE propose un nouveau type de produit dans le domaine des déchaumeurs portés, avec des largeurs de travail de 3,00 m et 3,50 m. Son équipement se caractérise par les dents C-Mix-Ultra avec sécurité non-stop via vérins </w:t>
      </w:r>
      <w:proofErr w:type="spellStart"/>
      <w:r>
        <w:rPr>
          <w:rFonts w:ascii="Arial" w:hAnsi="Arial"/>
        </w:rPr>
        <w:t>hydrauiques</w:t>
      </w:r>
      <w:proofErr w:type="spellEnd"/>
      <w:r>
        <w:rPr>
          <w:rFonts w:ascii="Arial" w:hAnsi="Arial"/>
        </w:rPr>
        <w:t>. Le système de dents robuste offre une fiabilité et une durabilité élevées, en particulier dans les conditions très pierreuses.</w:t>
      </w:r>
    </w:p>
    <w:p w14:paraId="0302E161" w14:textId="77777777" w:rsidR="00023031" w:rsidRDefault="00023031" w:rsidP="00E90499">
      <w:pPr>
        <w:spacing w:after="120" w:line="360" w:lineRule="auto"/>
        <w:ind w:left="567" w:right="2262"/>
        <w:rPr>
          <w:rFonts w:ascii="Arial" w:hAnsi="Arial" w:cs="Arial"/>
          <w:bCs/>
        </w:rPr>
      </w:pPr>
    </w:p>
    <w:p w14:paraId="09780EF9" w14:textId="31FF30D3" w:rsidR="00A97579" w:rsidRPr="00023031" w:rsidRDefault="00023031" w:rsidP="00E90499">
      <w:pPr>
        <w:spacing w:after="120" w:line="360" w:lineRule="auto"/>
        <w:ind w:left="567" w:right="2262"/>
        <w:rPr>
          <w:rFonts w:ascii="Arial" w:hAnsi="Arial" w:cs="Arial"/>
          <w:b/>
        </w:rPr>
      </w:pPr>
      <w:r>
        <w:rPr>
          <w:rFonts w:ascii="Arial" w:hAnsi="Arial"/>
          <w:b/>
        </w:rPr>
        <w:t>Flexibilité quel que soit le sol</w:t>
      </w:r>
    </w:p>
    <w:p w14:paraId="57399142" w14:textId="03699121" w:rsidR="00067545" w:rsidRDefault="00A97579" w:rsidP="00E90499">
      <w:pPr>
        <w:spacing w:after="120" w:line="360" w:lineRule="auto"/>
        <w:ind w:left="567" w:right="2262"/>
        <w:rPr>
          <w:rFonts w:ascii="Arial" w:hAnsi="Arial" w:cs="Arial"/>
          <w:bCs/>
        </w:rPr>
      </w:pPr>
      <w:r>
        <w:rPr>
          <w:rFonts w:ascii="Arial" w:hAnsi="Arial"/>
        </w:rPr>
        <w:t>C'est en particulier dans les conditions de sol changeantes que les dents C-Mix-Ultra affichent leurs atouts. La force de déclenchement peut être réglée en continu entre 500</w:t>
      </w:r>
      <w:r>
        <w:rPr>
          <w:rFonts w:ascii="Arial" w:hAnsi="Arial"/>
          <w:color w:val="FF0000"/>
        </w:rPr>
        <w:t> </w:t>
      </w:r>
      <w:r>
        <w:rPr>
          <w:rFonts w:ascii="Arial" w:hAnsi="Arial"/>
        </w:rPr>
        <w:t xml:space="preserve">kg et 800 kg, afin d'assurer une adaptation optimale aux différents types de sols. </w:t>
      </w:r>
    </w:p>
    <w:p w14:paraId="3DCAFF56" w14:textId="678CBE17" w:rsidR="00C97651" w:rsidRDefault="00067545" w:rsidP="00E90499">
      <w:pPr>
        <w:spacing w:after="120" w:line="360" w:lineRule="auto"/>
        <w:ind w:left="567" w:right="2262"/>
        <w:rPr>
          <w:rFonts w:ascii="Arial" w:hAnsi="Arial" w:cs="Arial"/>
          <w:bCs/>
        </w:rPr>
      </w:pPr>
      <w:r>
        <w:rPr>
          <w:rFonts w:ascii="Arial" w:hAnsi="Arial"/>
        </w:rPr>
        <w:t xml:space="preserve">Sur des sols légers, la force de déclenchement est réduite à 500 kg pour permettre aux dents de se relever plus rapidement en présence de grosses pierres. Le châssis du déchaumeur porté est ainsi protégé des contraintes excessives et les pierres ne sont pas remontées à la surface. En cas de compactage ou de sols lourds et argileux, la pression peut être augmentée jusqu'à 800 kg. Cela assure un ameublissement stable et efficace du sol. </w:t>
      </w:r>
    </w:p>
    <w:p w14:paraId="5AC4F99F" w14:textId="77777777" w:rsidR="00023031" w:rsidRDefault="00023031" w:rsidP="00E90499">
      <w:pPr>
        <w:spacing w:after="120" w:line="360" w:lineRule="auto"/>
        <w:ind w:left="567" w:right="2262"/>
        <w:rPr>
          <w:rFonts w:ascii="Arial" w:hAnsi="Arial" w:cs="Arial"/>
          <w:bCs/>
        </w:rPr>
      </w:pPr>
    </w:p>
    <w:p w14:paraId="33B8095F" w14:textId="00B24A21" w:rsidR="00A55005" w:rsidRDefault="00004816" w:rsidP="00E90499">
      <w:pPr>
        <w:spacing w:after="120" w:line="360" w:lineRule="auto"/>
        <w:ind w:left="567" w:right="2262"/>
        <w:rPr>
          <w:rFonts w:ascii="Arial" w:hAnsi="Arial" w:cs="Arial"/>
          <w:bCs/>
        </w:rPr>
      </w:pPr>
      <w:r>
        <w:rPr>
          <w:rFonts w:ascii="Arial" w:hAnsi="Arial"/>
          <w:b/>
        </w:rPr>
        <w:t>Sécurité d'utilisation dans les conditions les plus difficiles</w:t>
      </w:r>
      <w:r>
        <w:rPr>
          <w:rFonts w:ascii="Arial" w:hAnsi="Arial"/>
          <w:b/>
        </w:rPr>
        <w:br/>
      </w:r>
      <w:r>
        <w:rPr>
          <w:rFonts w:ascii="Arial" w:hAnsi="Arial"/>
        </w:rPr>
        <w:t>Même dans les conditions les plus difficiles, la machine conserve de façon optimale la profondeur de travail souhaitée jusqu’à 35</w:t>
      </w:r>
      <w:r>
        <w:rPr>
          <w:rFonts w:ascii="Arial" w:hAnsi="Arial"/>
          <w:color w:val="FF0000"/>
        </w:rPr>
        <w:t> </w:t>
      </w:r>
      <w:r>
        <w:rPr>
          <w:rFonts w:ascii="Arial" w:hAnsi="Arial"/>
        </w:rPr>
        <w:t>cm grâce au grand dégagement sous châssis. Ainsi, les dents C-Mix-Ultra offrent une grande sécurité d'utilisation, tout en assurant un travail du sol optimal.</w:t>
      </w:r>
    </w:p>
    <w:p w14:paraId="29CE611D" w14:textId="03AA0897" w:rsidR="00D83923" w:rsidRDefault="00D83923" w:rsidP="00E90499">
      <w:pPr>
        <w:spacing w:after="120" w:line="360" w:lineRule="auto"/>
        <w:ind w:left="567" w:right="2262"/>
        <w:rPr>
          <w:rFonts w:ascii="Arial" w:hAnsi="Arial" w:cs="Arial"/>
          <w:bCs/>
        </w:rPr>
      </w:pPr>
      <w:r>
        <w:rPr>
          <w:rFonts w:ascii="Arial" w:hAnsi="Arial"/>
        </w:rPr>
        <w:lastRenderedPageBreak/>
        <w:t>Le réglage en continu de la pression est simple et intuitif grâce au système situé à l'avant sur le bâti. Un manomètre de contrôle de pression est également intégré permettant de visualiser et de contrôler le réglage en cabine.</w:t>
      </w:r>
    </w:p>
    <w:p w14:paraId="0D2F5791" w14:textId="477236B8" w:rsidR="00E90499" w:rsidRDefault="00E90499" w:rsidP="00E90499">
      <w:pPr>
        <w:spacing w:after="120" w:line="360" w:lineRule="auto"/>
        <w:ind w:left="567" w:right="2262"/>
        <w:rPr>
          <w:rFonts w:ascii="Arial" w:hAnsi="Arial" w:cs="Arial"/>
          <w:bCs/>
        </w:rPr>
      </w:pPr>
      <w:r>
        <w:rPr>
          <w:rFonts w:ascii="Arial" w:hAnsi="Arial"/>
        </w:rPr>
        <w:t xml:space="preserve">Par ailleurs la sécurité hydraulique ultra protège le déchaumeur de façon particulière : Le système, composé de vérins hydrauliques montés sur les dents ainsi que les accumulateurs hydrauliques, assure, après déclenchement, un retour en terre très progressif de la dent C-Mix-Ultra. Cette caractéristique réduit considérablement les contraintes sur la machine, même en cas de déclenchements fréquents. </w:t>
      </w:r>
    </w:p>
    <w:p w14:paraId="6064E255" w14:textId="77777777" w:rsidR="00023031" w:rsidRDefault="00023031" w:rsidP="00E90499">
      <w:pPr>
        <w:spacing w:after="120" w:line="360" w:lineRule="auto"/>
        <w:ind w:left="567" w:right="2262"/>
        <w:rPr>
          <w:rFonts w:ascii="Arial" w:hAnsi="Arial" w:cs="Arial"/>
          <w:bCs/>
        </w:rPr>
      </w:pPr>
    </w:p>
    <w:p w14:paraId="4C08A166" w14:textId="19DD5FA5" w:rsidR="007639FE" w:rsidRDefault="00E90499" w:rsidP="00E90499">
      <w:pPr>
        <w:spacing w:after="120" w:line="360" w:lineRule="auto"/>
        <w:ind w:left="567" w:right="1695"/>
        <w:rPr>
          <w:rFonts w:ascii="Arial" w:hAnsi="Arial" w:cs="Arial"/>
          <w:bCs/>
        </w:rPr>
      </w:pPr>
      <w:r>
        <w:rPr>
          <w:rFonts w:ascii="Arial" w:hAnsi="Arial"/>
        </w:rPr>
        <w:t>Les nouvelles dents C-Mix-Ultra peuvent être combinées avec la gamme complète de pointes et socs. La gamme propose le bon type de soc pour chaque spectre d'utilisation, du soc standard au soc HD très résistant à l'usure.</w:t>
      </w:r>
    </w:p>
    <w:p w14:paraId="700C6714" w14:textId="66BEAC28" w:rsidR="00E90499" w:rsidRDefault="00E90499" w:rsidP="00004816">
      <w:pPr>
        <w:spacing w:after="120" w:line="360" w:lineRule="auto"/>
        <w:ind w:left="567" w:right="1553"/>
        <w:jc w:val="center"/>
        <w:rPr>
          <w:rFonts w:ascii="Arial" w:hAnsi="Arial" w:cs="Arial"/>
          <w:bCs/>
        </w:rPr>
      </w:pPr>
      <w:r>
        <w:rPr>
          <w:rFonts w:ascii="Arial" w:hAnsi="Arial"/>
          <w:noProof/>
        </w:rPr>
        <w:drawing>
          <wp:inline distT="0" distB="0" distL="0" distR="0" wp14:anchorId="39DD0B6F" wp14:editId="4A92E40F">
            <wp:extent cx="2484000" cy="3263763"/>
            <wp:effectExtent l="0" t="0" r="0" b="0"/>
            <wp:docPr id="897080101" name="Grafik 1" descr="Ein Bild, das Werkzeug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080101" name="Grafik 1" descr="Ein Bild, das Werkzeug enthält.&#10;&#10;Automatisch generierte Beschreibung mit mittlerer Zuverlässigkeit"/>
                    <pic:cNvPicPr>
                      <a:picLocks noChangeAspect="1" noChangeArrowheads="1"/>
                    </pic:cNvPicPr>
                  </pic:nvPicPr>
                  <pic:blipFill rotWithShape="1">
                    <a:blip r:embed="rId8">
                      <a:extLst>
                        <a:ext uri="{28A0092B-C50C-407E-A947-70E740481C1C}">
                          <a14:useLocalDpi xmlns:a14="http://schemas.microsoft.com/office/drawing/2010/main" val="0"/>
                        </a:ext>
                      </a:extLst>
                    </a:blip>
                    <a:srcRect l="15587" t="1979" r="11958" b="2670"/>
                    <a:stretch/>
                  </pic:blipFill>
                  <pic:spPr bwMode="auto">
                    <a:xfrm>
                      <a:off x="0" y="0"/>
                      <a:ext cx="2484000" cy="3263763"/>
                    </a:xfrm>
                    <a:prstGeom prst="rect">
                      <a:avLst/>
                    </a:prstGeom>
                    <a:noFill/>
                    <a:ln>
                      <a:noFill/>
                    </a:ln>
                    <a:extLst>
                      <a:ext uri="{53640926-AAD7-44D8-BBD7-CCE9431645EC}">
                        <a14:shadowObscured xmlns:a14="http://schemas.microsoft.com/office/drawing/2010/main"/>
                      </a:ext>
                    </a:extLst>
                  </pic:spPr>
                </pic:pic>
              </a:graphicData>
            </a:graphic>
          </wp:inline>
        </w:drawing>
      </w:r>
    </w:p>
    <w:p w14:paraId="32DC9246" w14:textId="01AAE7E9" w:rsidR="00FC5EA8" w:rsidRPr="00C97651" w:rsidRDefault="00FC5EA8" w:rsidP="00FC5EA8">
      <w:pPr>
        <w:spacing w:after="120" w:line="360" w:lineRule="auto"/>
        <w:ind w:left="567" w:right="2262"/>
        <w:rPr>
          <w:rFonts w:ascii="Arial" w:hAnsi="Arial" w:cs="Arial"/>
          <w:bCs/>
          <w:sz w:val="22"/>
          <w:szCs w:val="22"/>
        </w:rPr>
      </w:pPr>
      <w:r>
        <w:rPr>
          <w:rFonts w:ascii="Arial" w:hAnsi="Arial"/>
          <w:sz w:val="22"/>
        </w:rPr>
        <w:t>Les dents C-Mix-Ultra sont particulièrement efficaces, notamment dans des conditions d’utilisation avec des déclenchements réguliers.</w:t>
      </w:r>
    </w:p>
    <w:p w14:paraId="1D460C8D" w14:textId="45C9DE75" w:rsidR="00CF1A32" w:rsidRDefault="00E90499" w:rsidP="00CF1A32">
      <w:pPr>
        <w:spacing w:after="120" w:line="360" w:lineRule="auto"/>
        <w:ind w:left="567" w:right="986"/>
        <w:rPr>
          <w:rFonts w:ascii="Arial" w:hAnsi="Arial" w:cs="Arial"/>
          <w:bCs/>
          <w:color w:val="FF0000"/>
          <w:sz w:val="22"/>
          <w:szCs w:val="22"/>
        </w:rPr>
      </w:pPr>
      <w:r>
        <w:rPr>
          <w:rFonts w:ascii="Arial" w:hAnsi="Arial"/>
          <w:color w:val="FF0000"/>
          <w:sz w:val="22"/>
        </w:rPr>
        <w:t xml:space="preserve"> </w:t>
      </w:r>
    </w:p>
    <w:p w14:paraId="3A4F950B" w14:textId="77777777" w:rsidR="00CF1A32" w:rsidRDefault="00CF1A32" w:rsidP="00E90499">
      <w:pPr>
        <w:spacing w:after="120" w:line="360" w:lineRule="auto"/>
        <w:ind w:left="567" w:right="2262"/>
        <w:rPr>
          <w:rFonts w:ascii="Arial" w:hAnsi="Arial" w:cs="Arial"/>
          <w:bCs/>
          <w:color w:val="FF0000"/>
          <w:sz w:val="22"/>
          <w:szCs w:val="22"/>
        </w:rPr>
      </w:pPr>
    </w:p>
    <w:p w14:paraId="191B63A2" w14:textId="053E27A1" w:rsidR="003B4990" w:rsidRDefault="003B4990" w:rsidP="00CF1A32">
      <w:pPr>
        <w:spacing w:after="120" w:line="360" w:lineRule="auto"/>
        <w:ind w:left="567" w:right="844"/>
        <w:rPr>
          <w:rFonts w:ascii="Arial" w:hAnsi="Arial"/>
          <w:sz w:val="22"/>
        </w:rPr>
      </w:pPr>
      <w:r>
        <w:rPr>
          <w:rFonts w:ascii="Arial" w:hAnsi="Arial" w:cs="Arial"/>
          <w:bCs/>
          <w:noProof/>
        </w:rPr>
        <w:lastRenderedPageBreak/>
        <w:drawing>
          <wp:inline distT="0" distB="0" distL="0" distR="0" wp14:anchorId="3C830AE1" wp14:editId="2A970F2F">
            <wp:extent cx="4680000" cy="3513661"/>
            <wp:effectExtent l="0" t="0" r="6350" b="0"/>
            <wp:docPr id="137976990" name="Grafik 2" descr="Ein Bild, das Traktor, draußen, Gras, Landwirtschaftstechn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6990" name="Grafik 2" descr="Ein Bild, das Traktor, draußen, Gras, Landwirtschaftstechnik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513661"/>
                    </a:xfrm>
                    <a:prstGeom prst="rect">
                      <a:avLst/>
                    </a:prstGeom>
                    <a:noFill/>
                    <a:ln>
                      <a:noFill/>
                    </a:ln>
                  </pic:spPr>
                </pic:pic>
              </a:graphicData>
            </a:graphic>
          </wp:inline>
        </w:drawing>
      </w:r>
    </w:p>
    <w:p w14:paraId="6977B4B0" w14:textId="20452EA6" w:rsidR="00E90499" w:rsidRPr="00C97651" w:rsidRDefault="00CF1A32" w:rsidP="00CF1A32">
      <w:pPr>
        <w:spacing w:after="120" w:line="360" w:lineRule="auto"/>
        <w:ind w:left="567" w:right="844"/>
        <w:rPr>
          <w:sz w:val="22"/>
          <w:szCs w:val="22"/>
        </w:rPr>
      </w:pPr>
      <w:r>
        <w:rPr>
          <w:rFonts w:ascii="Arial" w:hAnsi="Arial"/>
          <w:sz w:val="22"/>
        </w:rPr>
        <w:t>La force de déclenchement élevée, jusqu'à 800 kg, assure une profondeur de travail constante.</w:t>
      </w:r>
      <w:r>
        <w:rPr>
          <w:sz w:val="22"/>
        </w:rPr>
        <w:t xml:space="preserve"> </w:t>
      </w:r>
    </w:p>
    <w:p w14:paraId="305BBC46" w14:textId="77777777" w:rsidR="00E90499" w:rsidRDefault="00E90499" w:rsidP="00E90499">
      <w:pPr>
        <w:spacing w:after="120" w:line="360" w:lineRule="auto"/>
        <w:ind w:right="2262"/>
      </w:pPr>
    </w:p>
    <w:p w14:paraId="4A529854" w14:textId="20C03692" w:rsidR="00E90499" w:rsidRDefault="003B4990" w:rsidP="00E90499">
      <w:pPr>
        <w:spacing w:after="120" w:line="360" w:lineRule="auto"/>
        <w:ind w:left="567" w:right="2262"/>
        <w:rPr>
          <w:rFonts w:ascii="Arial" w:hAnsi="Arial" w:cs="Arial"/>
          <w:bCs/>
        </w:rPr>
      </w:pPr>
      <w:r>
        <w:rPr>
          <w:rFonts w:ascii="Arial" w:hAnsi="Arial" w:cs="Arial"/>
          <w:b/>
          <w:bCs/>
          <w:noProof/>
          <w:color w:val="808080" w:themeColor="background1" w:themeShade="80"/>
          <w:sz w:val="20"/>
          <w:szCs w:val="20"/>
        </w:rPr>
        <w:drawing>
          <wp:inline distT="0" distB="0" distL="0" distR="0" wp14:anchorId="08FA3285" wp14:editId="739C15BF">
            <wp:extent cx="4680000" cy="3513660"/>
            <wp:effectExtent l="0" t="0" r="6350" b="0"/>
            <wp:docPr id="2045239636" name="Grafik 1" descr="Ein Bild, das draußen, Gras, Landwirtschaftstechnik,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239636" name="Grafik 1" descr="Ein Bild, das draußen, Gras, Landwirtschaftstechnik, Rad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3513660"/>
                    </a:xfrm>
                    <a:prstGeom prst="rect">
                      <a:avLst/>
                    </a:prstGeom>
                    <a:noFill/>
                    <a:ln>
                      <a:noFill/>
                    </a:ln>
                  </pic:spPr>
                </pic:pic>
              </a:graphicData>
            </a:graphic>
          </wp:inline>
        </w:drawing>
      </w:r>
    </w:p>
    <w:p w14:paraId="7ECA1F5D" w14:textId="45FB34FA" w:rsidR="004A4E71" w:rsidRDefault="00E90499" w:rsidP="003B4990">
      <w:pPr>
        <w:spacing w:after="120" w:line="360" w:lineRule="auto"/>
        <w:ind w:left="567" w:right="1695"/>
        <w:rPr>
          <w:rFonts w:ascii="Arial" w:hAnsi="Arial" w:cs="Arial"/>
          <w:bCs/>
        </w:rPr>
      </w:pPr>
      <w:r>
        <w:rPr>
          <w:rFonts w:ascii="Arial" w:hAnsi="Arial"/>
          <w:sz w:val="22"/>
        </w:rPr>
        <w:t>Grâce au réglage en continu de la force de déclenchement, le Cenius Ultra convient aussi bien aux sols légers qu'aux sols lourds dans des conditions rocailleuses.</w:t>
      </w:r>
      <w:r w:rsidR="004A4E71">
        <w:br w:type="page"/>
      </w:r>
    </w:p>
    <w:p w14:paraId="2B221C8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56AC8C74" w14:textId="77777777" w:rsidR="00A42ED2" w:rsidRDefault="00A42ED2" w:rsidP="00A42ED2">
      <w:pPr>
        <w:spacing w:after="120" w:line="360" w:lineRule="auto"/>
        <w:ind w:left="567" w:right="1695"/>
        <w:rPr>
          <w:rFonts w:ascii="Arial" w:hAnsi="Arial" w:cs="Arial"/>
          <w:bCs/>
        </w:rPr>
      </w:pPr>
    </w:p>
    <w:p w14:paraId="34952731"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590D4F9A"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1" w:history="1">
        <w:r>
          <w:rPr>
            <w:rStyle w:val="Hyperlink"/>
            <w:rFonts w:ascii="Arial" w:hAnsi="Arial"/>
            <w:sz w:val="20"/>
          </w:rPr>
          <w:t>www.amazone.fr</w:t>
        </w:r>
      </w:hyperlink>
    </w:p>
    <w:p w14:paraId="6EB3A7C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3764A9" wp14:editId="511DA799">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B36A53" wp14:editId="7302F8DF">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41273A1" wp14:editId="62EAC1A0">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31304AB" wp14:editId="6BA70363">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39E30E" wp14:editId="24C84DC1">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023031">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BEE09" w14:textId="77777777" w:rsidR="001302CF" w:rsidRDefault="001302CF">
      <w:r>
        <w:separator/>
      </w:r>
    </w:p>
  </w:endnote>
  <w:endnote w:type="continuationSeparator" w:id="0">
    <w:p w14:paraId="73E1922B" w14:textId="77777777" w:rsidR="001302CF" w:rsidRDefault="00130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63B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6C49426" wp14:editId="3E7423E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237B2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494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F237B2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8918A25" wp14:editId="526D5647">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363495"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793BB68" wp14:editId="098967E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5F1C53"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7643B65" wp14:editId="5B478528">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4D0B9F"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50C3A81B" w14:textId="028033D5"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3B4990">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43B6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24D0B9F"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50C3A81B" w14:textId="028033D5"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w:t>
                    </w:r>
                    <w:r w:rsidR="003B4990">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4D4B" w14:textId="77777777" w:rsidR="001302CF" w:rsidRDefault="001302CF">
      <w:r>
        <w:separator/>
      </w:r>
    </w:p>
  </w:footnote>
  <w:footnote w:type="continuationSeparator" w:id="0">
    <w:p w14:paraId="66110E17" w14:textId="77777777" w:rsidR="001302CF" w:rsidRDefault="00130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CD8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349C680" wp14:editId="69B6AA64">
              <wp:simplePos x="0" y="0"/>
              <wp:positionH relativeFrom="margin">
                <wp:posOffset>2854211</wp:posOffset>
              </wp:positionH>
              <wp:positionV relativeFrom="paragraph">
                <wp:posOffset>-678757</wp:posOffset>
              </wp:positionV>
              <wp:extent cx="3913274"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913274"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271C98" w14:textId="7C2AC2FF" w:rsidR="00E90499" w:rsidRPr="00E90499" w:rsidRDefault="004A4E71" w:rsidP="003B4990">
                          <w:pPr>
                            <w:pStyle w:val="StandardWeb"/>
                            <w:spacing w:after="0" w:afterAutospacing="0"/>
                            <w:jc w:val="center"/>
                            <w:rPr>
                              <w:rFonts w:ascii="Arial" w:hAnsi="Arial" w:cs="Arial"/>
                              <w:color w:val="FFFFFF" w:themeColor="background1"/>
                              <w:kern w:val="24"/>
                              <w:sz w:val="28"/>
                              <w:szCs w:val="28"/>
                            </w:rPr>
                          </w:pPr>
                          <w:r>
                            <w:rPr>
                              <w:rFonts w:ascii="Arial" w:hAnsi="Arial"/>
                              <w:color w:val="FFFFFF" w:themeColor="background1"/>
                              <w:sz w:val="28"/>
                            </w:rPr>
                            <w:t xml:space="preserve">Communiqué de presse </w:t>
                          </w:r>
                          <w:proofErr w:type="spellStart"/>
                          <w:r w:rsidR="003B4990">
                            <w:rPr>
                              <w:rFonts w:ascii="Arial" w:hAnsi="Arial"/>
                              <w:color w:val="FFFFFF" w:themeColor="background1"/>
                              <w:sz w:val="28"/>
                              <w:lang w:val="de-DE"/>
                            </w:rPr>
                            <w:t>f</w:t>
                          </w:r>
                          <w:r w:rsidR="003B4990" w:rsidRPr="003B4990">
                            <w:rPr>
                              <w:rFonts w:ascii="Arial" w:hAnsi="Arial"/>
                              <w:color w:val="FFFFFF" w:themeColor="background1"/>
                              <w:sz w:val="28"/>
                              <w:lang w:val="de-DE"/>
                            </w:rPr>
                            <w:t>évrier</w:t>
                          </w:r>
                          <w:proofErr w:type="spellEnd"/>
                          <w:r w:rsidR="003B4990">
                            <w:rPr>
                              <w:rFonts w:ascii="Arial" w:hAnsi="Arial"/>
                              <w:color w:val="FFFFFF" w:themeColor="background1"/>
                              <w:sz w:val="28"/>
                              <w:lang w:val="de-DE"/>
                            </w:rPr>
                            <w:t xml:space="preserve"> </w:t>
                          </w:r>
                          <w:r>
                            <w:rPr>
                              <w:rFonts w:ascii="Arial" w:hAnsi="Arial"/>
                              <w:color w:val="FFFFFF" w:themeColor="background1"/>
                              <w:sz w:val="28"/>
                            </w:rPr>
                            <w:t>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49C680" id="Rechteck 6" o:spid="_x0000_s1026" style="position:absolute;margin-left:224.75pt;margin-top:-53.45pt;width:308.1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" filled="f" stroked="f" strokeweight="2pt">
              <v:textbox>
                <w:txbxContent>
                  <w:p w14:paraId="5F271C98" w14:textId="7C2AC2FF" w:rsidR="00E90499" w:rsidRPr="00E90499" w:rsidRDefault="004A4E71" w:rsidP="003B4990">
                    <w:pPr>
                      <w:pStyle w:val="StandardWeb"/>
                      <w:spacing w:after="0" w:afterAutospacing="0"/>
                      <w:jc w:val="center"/>
                      <w:rPr>
                        <w:rFonts w:ascii="Arial" w:hAnsi="Arial" w:cs="Arial"/>
                        <w:color w:val="FFFFFF" w:themeColor="background1"/>
                        <w:kern w:val="24"/>
                        <w:sz w:val="28"/>
                        <w:szCs w:val="28"/>
                      </w:rPr>
                    </w:pPr>
                    <w:r>
                      <w:rPr>
                        <w:rFonts w:ascii="Arial" w:hAnsi="Arial"/>
                        <w:color w:val="FFFFFF" w:themeColor="background1"/>
                        <w:sz w:val="28"/>
                      </w:rPr>
                      <w:t xml:space="preserve">Communiqué de presse </w:t>
                    </w:r>
                    <w:proofErr w:type="spellStart"/>
                    <w:r w:rsidR="003B4990">
                      <w:rPr>
                        <w:rFonts w:ascii="Arial" w:hAnsi="Arial"/>
                        <w:color w:val="FFFFFF" w:themeColor="background1"/>
                        <w:sz w:val="28"/>
                        <w:lang w:val="de-DE"/>
                      </w:rPr>
                      <w:t>f</w:t>
                    </w:r>
                    <w:r w:rsidR="003B4990" w:rsidRPr="003B4990">
                      <w:rPr>
                        <w:rFonts w:ascii="Arial" w:hAnsi="Arial"/>
                        <w:color w:val="FFFFFF" w:themeColor="background1"/>
                        <w:sz w:val="28"/>
                        <w:lang w:val="de-DE"/>
                      </w:rPr>
                      <w:t>évrier</w:t>
                    </w:r>
                    <w:proofErr w:type="spellEnd"/>
                    <w:r w:rsidR="003B4990">
                      <w:rPr>
                        <w:rFonts w:ascii="Arial" w:hAnsi="Arial"/>
                        <w:color w:val="FFFFFF" w:themeColor="background1"/>
                        <w:sz w:val="28"/>
                        <w:lang w:val="de-DE"/>
                      </w:rPr>
                      <w:t xml:space="preserve"> </w:t>
                    </w:r>
                    <w:r>
                      <w:rPr>
                        <w:rFonts w:ascii="Arial" w:hAnsi="Arial"/>
                        <w:color w:val="FFFFFF" w:themeColor="background1"/>
                        <w:sz w:val="28"/>
                      </w:rPr>
                      <w:t>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17197D90" wp14:editId="47F2CBE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13D9F8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85983D" wp14:editId="482E39E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32C604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06FE8F3" wp14:editId="5048753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E6247E"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E8F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E6247E"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9"/>
    <w:rsid w:val="000008BF"/>
    <w:rsid w:val="0000280B"/>
    <w:rsid w:val="00003E4F"/>
    <w:rsid w:val="000047C6"/>
    <w:rsid w:val="00004816"/>
    <w:rsid w:val="000055DA"/>
    <w:rsid w:val="0000569A"/>
    <w:rsid w:val="00005750"/>
    <w:rsid w:val="000057B1"/>
    <w:rsid w:val="00005A76"/>
    <w:rsid w:val="00006782"/>
    <w:rsid w:val="00013C90"/>
    <w:rsid w:val="000148C6"/>
    <w:rsid w:val="00020A73"/>
    <w:rsid w:val="00022927"/>
    <w:rsid w:val="00022EA9"/>
    <w:rsid w:val="00023031"/>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17D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545"/>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105"/>
    <w:rsid w:val="000E0DD7"/>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E48"/>
    <w:rsid w:val="00125E67"/>
    <w:rsid w:val="0012682A"/>
    <w:rsid w:val="00126BDB"/>
    <w:rsid w:val="00126F6D"/>
    <w:rsid w:val="0012731C"/>
    <w:rsid w:val="00127C44"/>
    <w:rsid w:val="001302CF"/>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2EFB"/>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10C6"/>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A6E"/>
    <w:rsid w:val="00280DCF"/>
    <w:rsid w:val="00281B1F"/>
    <w:rsid w:val="002828C5"/>
    <w:rsid w:val="002829C0"/>
    <w:rsid w:val="0028387B"/>
    <w:rsid w:val="00285740"/>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DE2"/>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7D5E"/>
    <w:rsid w:val="002F0698"/>
    <w:rsid w:val="002F06C3"/>
    <w:rsid w:val="002F0C60"/>
    <w:rsid w:val="002F3F80"/>
    <w:rsid w:val="002F53E9"/>
    <w:rsid w:val="002F54BD"/>
    <w:rsid w:val="002F58F1"/>
    <w:rsid w:val="002F5AF3"/>
    <w:rsid w:val="002F5B4F"/>
    <w:rsid w:val="002F6BC8"/>
    <w:rsid w:val="0030035B"/>
    <w:rsid w:val="00300C6C"/>
    <w:rsid w:val="00302020"/>
    <w:rsid w:val="00302EC3"/>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2311"/>
    <w:rsid w:val="003375ED"/>
    <w:rsid w:val="003400A3"/>
    <w:rsid w:val="0034016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0"/>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08D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13A"/>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3F00"/>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2E2E"/>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6E5D"/>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332"/>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950"/>
    <w:rsid w:val="006504D5"/>
    <w:rsid w:val="0065335F"/>
    <w:rsid w:val="00653C7C"/>
    <w:rsid w:val="006540FC"/>
    <w:rsid w:val="006553F8"/>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2880"/>
    <w:rsid w:val="006C341C"/>
    <w:rsid w:val="006D24A3"/>
    <w:rsid w:val="006D2A85"/>
    <w:rsid w:val="006D2F24"/>
    <w:rsid w:val="006D4215"/>
    <w:rsid w:val="006D5DE3"/>
    <w:rsid w:val="006D6692"/>
    <w:rsid w:val="006E21AA"/>
    <w:rsid w:val="006E33BB"/>
    <w:rsid w:val="006E3615"/>
    <w:rsid w:val="006E596F"/>
    <w:rsid w:val="006E6C7E"/>
    <w:rsid w:val="006E6D4F"/>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1E73"/>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49B5"/>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495"/>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8BC"/>
    <w:rsid w:val="008E16F1"/>
    <w:rsid w:val="008E2078"/>
    <w:rsid w:val="008E26EA"/>
    <w:rsid w:val="008E416F"/>
    <w:rsid w:val="008E4FBE"/>
    <w:rsid w:val="008E4FE2"/>
    <w:rsid w:val="008E605B"/>
    <w:rsid w:val="008E7382"/>
    <w:rsid w:val="008F018E"/>
    <w:rsid w:val="008F17E1"/>
    <w:rsid w:val="008F2038"/>
    <w:rsid w:val="008F3BCA"/>
    <w:rsid w:val="008F5D70"/>
    <w:rsid w:val="008F7B54"/>
    <w:rsid w:val="00902335"/>
    <w:rsid w:val="00903BD1"/>
    <w:rsid w:val="00905607"/>
    <w:rsid w:val="009056AA"/>
    <w:rsid w:val="00910A7E"/>
    <w:rsid w:val="00911D0D"/>
    <w:rsid w:val="00913866"/>
    <w:rsid w:val="0091391B"/>
    <w:rsid w:val="00913ABA"/>
    <w:rsid w:val="00914BEC"/>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0C9"/>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005"/>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97579"/>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3C5B"/>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026E"/>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2DEF"/>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485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97651"/>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A32"/>
    <w:rsid w:val="00CF3AD0"/>
    <w:rsid w:val="00CF3FBF"/>
    <w:rsid w:val="00CF4B64"/>
    <w:rsid w:val="00D004BF"/>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F84"/>
    <w:rsid w:val="00D71C9B"/>
    <w:rsid w:val="00D72F44"/>
    <w:rsid w:val="00D744EF"/>
    <w:rsid w:val="00D8077E"/>
    <w:rsid w:val="00D81F2C"/>
    <w:rsid w:val="00D829C8"/>
    <w:rsid w:val="00D83715"/>
    <w:rsid w:val="00D83923"/>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7E"/>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72FF"/>
    <w:rsid w:val="00E210CD"/>
    <w:rsid w:val="00E2251E"/>
    <w:rsid w:val="00E236C2"/>
    <w:rsid w:val="00E247DB"/>
    <w:rsid w:val="00E25D8E"/>
    <w:rsid w:val="00E260F9"/>
    <w:rsid w:val="00E27DFB"/>
    <w:rsid w:val="00E30156"/>
    <w:rsid w:val="00E3043E"/>
    <w:rsid w:val="00E32A90"/>
    <w:rsid w:val="00E32E07"/>
    <w:rsid w:val="00E33527"/>
    <w:rsid w:val="00E33D18"/>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0499"/>
    <w:rsid w:val="00E91E71"/>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6D6D"/>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CD1"/>
    <w:rsid w:val="00F7525F"/>
    <w:rsid w:val="00F8079B"/>
    <w:rsid w:val="00F80F29"/>
    <w:rsid w:val="00F8399A"/>
    <w:rsid w:val="00F91A77"/>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5EA8"/>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D169429"/>
  <w15:docId w15:val="{734DED26-7BCC-4E73-994B-F0C8DF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580126">
      <w:bodyDiv w:val="1"/>
      <w:marLeft w:val="0"/>
      <w:marRight w:val="0"/>
      <w:marTop w:val="0"/>
      <w:marBottom w:val="0"/>
      <w:divBdr>
        <w:top w:val="none" w:sz="0" w:space="0" w:color="auto"/>
        <w:left w:val="none" w:sz="0" w:space="0" w:color="auto"/>
        <w:bottom w:val="none" w:sz="0" w:space="0" w:color="auto"/>
        <w:right w:val="none" w:sz="0" w:space="0" w:color="auto"/>
      </w:divBdr>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025248">
      <w:bodyDiv w:val="1"/>
      <w:marLeft w:val="0"/>
      <w:marRight w:val="0"/>
      <w:marTop w:val="0"/>
      <w:marBottom w:val="0"/>
      <w:divBdr>
        <w:top w:val="none" w:sz="0" w:space="0" w:color="auto"/>
        <w:left w:val="none" w:sz="0" w:space="0" w:color="auto"/>
        <w:bottom w:val="none" w:sz="0" w:space="0" w:color="auto"/>
        <w:right w:val="none" w:sz="0" w:space="0" w:color="auto"/>
      </w:divBdr>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604</Words>
  <Characters>3413</Characters>
  <Application>Microsoft Office Word</Application>
  <DocSecurity>0</DocSecurity>
  <Lines>28</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Berelsmann Nadine</dc:creator>
  <cp:keywords/>
  <dc:description/>
  <cp:lastModifiedBy>Berelsmann Nadine</cp:lastModifiedBy>
  <cp:revision>23</cp:revision>
  <cp:lastPrinted>2010-02-24T09:10:00Z</cp:lastPrinted>
  <dcterms:created xsi:type="dcterms:W3CDTF">2024-12-18T11:13:00Z</dcterms:created>
  <dcterms:modified xsi:type="dcterms:W3CDTF">2025-02-14T10:26:00Z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